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WHAT 100 PEOPLE DO TO A GAME</w:t>
      </w:r>
    </w:p>
    <w:p>
      <w:pPr/>
      <w:r>
        <w:rPr>
          <w:b/>
          <w:color w:val="AF0000"/>
          <w:sz w:val="30"/>
        </w:rPr>
        <w:t>贡献记录与最终署名规则</w:t>
      </w:r>
    </w:p>
    <w:p>
      <w:pPr/>
      <w:r>
        <w:rPr>
          <w:color w:val="5F5F5F"/>
          <w:sz w:val="18"/>
        </w:rPr>
        <w:t>项目全周期适用｜贡献留痕、职能认定、署名层级与最终排序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</w:tcPr>
          <w:p>
            <w:pPr>
              <w:spacing w:after="20"/>
            </w:pPr>
            <w:r/>
            <w:r>
              <w:rPr>
                <w:b/>
                <w:color w:val="AF0000"/>
                <w:sz w:val="16"/>
              </w:rPr>
              <w:t>适用对象</w:t>
            </w:r>
          </w:p>
        </w:tc>
        <w:tc>
          <w:tcPr>
            <w:tcW w:type="dxa" w:w="5083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核心团队、各职能成员、一般参与者及其他实际贡献者</w:t>
            </w:r>
          </w:p>
        </w:tc>
      </w:tr>
      <w:tr>
        <w:tc>
          <w:tcPr>
            <w:tcW w:type="dxa" w:w="5083"/>
          </w:tcPr>
          <w:p>
            <w:pPr>
              <w:spacing w:after="20"/>
            </w:pPr>
            <w:r/>
            <w:r>
              <w:rPr>
                <w:b/>
                <w:color w:val="AF0000"/>
                <w:sz w:val="16"/>
              </w:rPr>
              <w:t>过程记录</w:t>
            </w:r>
          </w:p>
        </w:tc>
        <w:tc>
          <w:tcPr>
            <w:tcW w:type="dxa" w:w="5083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网站“项目过程”公开阶段任务、产出和版本变化；内部同步维护贡献记录</w:t>
            </w:r>
          </w:p>
        </w:tc>
      </w:tr>
      <w:tr>
        <w:tc>
          <w:tcPr>
            <w:tcW w:type="dxa" w:w="5083"/>
          </w:tcPr>
          <w:p>
            <w:pPr>
              <w:spacing w:after="20"/>
            </w:pPr>
            <w:r/>
            <w:r>
              <w:rPr>
                <w:b/>
                <w:color w:val="AF0000"/>
                <w:sz w:val="16"/>
              </w:rPr>
              <w:t>最终认定</w:t>
            </w:r>
          </w:p>
        </w:tc>
        <w:tc>
          <w:tcPr>
            <w:tcW w:type="dxa" w:w="5083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由项目负责人依据本规则、全过程记录和最终交付情况统一确认</w:t>
            </w:r>
          </w:p>
        </w:tc>
      </w:tr>
      <w:tr>
        <w:tc>
          <w:tcPr>
            <w:tcW w:type="dxa" w:w="5083"/>
          </w:tcPr>
          <w:p>
            <w:pPr>
              <w:spacing w:after="20"/>
            </w:pPr>
            <w:r/>
            <w:r>
              <w:rPr>
                <w:b/>
                <w:color w:val="AF0000"/>
                <w:sz w:val="16"/>
              </w:rPr>
              <w:t>原则</w:t>
            </w:r>
          </w:p>
        </w:tc>
        <w:tc>
          <w:tcPr>
            <w:tcW w:type="dxa" w:w="5083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实际贡献优先；同岗比较；全过程可追溯；同一标准前后一致</w:t>
            </w:r>
          </w:p>
        </w:tc>
      </w:tr>
    </w:tbl>
    <w:p>
      <w:pPr>
        <w:pStyle w:val="Heading1"/>
      </w:pPr>
      <w:r>
        <w:rPr>
          <w:color w:val="AF0000"/>
        </w:rPr>
        <w:t>一、规则定位</w:t>
      </w:r>
    </w:p>
    <w:p>
      <w:pPr/>
      <w:r>
        <w:t>本规则用于确定项目成员的最终 Credit。项目人数多、岗位差异大，同样数量的任务可能对应完全不同的工作量、复杂度和责任，因此不采用按任务数量简单累计的方式。</w:t>
      </w:r>
    </w:p>
    <w:p>
      <w:pPr/>
      <w:r>
        <w:t>最终署名先确认成员实际承担的职能，再依据全过程记录判断贡献范围。报名时的职位、群聊发言数量、单次高强度参与或单纯的任务完成率，都不能单独决定署名层级和顺序。</w:t>
      </w:r>
    </w:p>
    <w:p>
      <w:pPr/>
      <w:r>
        <w:t>项目会在网站“项目过程”中持续记录会议、任务、提案、原型、资产、测试、修改和版本变化。网站记录与内部贡献记录共同构成最终署名的事实依据。</w:t>
      </w:r>
    </w:p>
    <w:p>
      <w:pPr>
        <w:pStyle w:val="Heading1"/>
      </w:pPr>
      <w:r>
        <w:rPr>
          <w:color w:val="AF0000"/>
        </w:rPr>
        <w:t>二、基本原则</w:t>
      </w:r>
    </w:p>
    <w:p>
      <w:pPr/>
      <w:r>
        <w:rPr>
          <w:b/>
          <w:color w:val="AF0000"/>
        </w:rPr>
        <w:t>实际贡献｜</w:t>
      </w:r>
      <w:r>
        <w:t>记录实际完成的工作和实际承担的职责，不按报名身份自动授予最终职称。</w:t>
      </w:r>
    </w:p>
    <w:p>
      <w:pPr/>
      <w:r>
        <w:rPr>
          <w:b/>
          <w:color w:val="AF0000"/>
        </w:rPr>
        <w:t>同岗比较｜</w:t>
      </w:r>
      <w:r>
        <w:t>策划、美术、程序、音频、测试等原则上分别判断，不做简单跨岗位排名。</w:t>
      </w:r>
    </w:p>
    <w:p>
      <w:pPr/>
      <w:r>
        <w:rPr>
          <w:b/>
          <w:color w:val="AF0000"/>
        </w:rPr>
        <w:t>任务价值｜</w:t>
      </w:r>
      <w:r>
        <w:t>任务数量不等于贡献量，同时看工作量、复杂度、责任范围、迭代和成品影响。</w:t>
      </w:r>
    </w:p>
    <w:p>
      <w:pPr/>
      <w:r>
        <w:rPr>
          <w:b/>
          <w:color w:val="AF0000"/>
        </w:rPr>
        <w:t>全过程留痕｜</w:t>
      </w:r>
      <w:r>
        <w:t>重要工作尽量留下文档、文件、代码、原型、会议纪要、测试记录、群内提交或网站页面。</w:t>
      </w:r>
    </w:p>
    <w:p>
      <w:pPr/>
      <w:r>
        <w:rPr>
          <w:b/>
          <w:color w:val="AF0000"/>
        </w:rPr>
        <w:t>创意分阶段记录｜</w:t>
      </w:r>
      <w:r>
        <w:t>原始提案、方案深化、实际制作、迭代和最终实现分别记录。</w:t>
      </w:r>
    </w:p>
    <w:p>
      <w:pPr/>
      <w:r>
        <w:rPr>
          <w:b/>
          <w:color w:val="AF0000"/>
        </w:rPr>
        <w:t>有效工作不因删改归零｜</w:t>
      </w:r>
      <w:r>
        <w:t>已完成的有效设计、资产、原型或测试，即使最终被删改，仍按实际完成程度记录。</w:t>
      </w:r>
    </w:p>
    <w:p>
      <w:pPr/>
      <w:r>
        <w:rPr>
          <w:b/>
          <w:color w:val="AF0000"/>
        </w:rPr>
        <w:t>差异明确才排序｜</w:t>
      </w:r>
      <w:r>
        <w:t>同职能、同层级只有在记录足以说明差异时才按贡献排序；差异不明确时采用中性顺序。</w:t>
      </w:r>
    </w:p>
    <w:p>
      <w:pPr>
        <w:pStyle w:val="Heading1"/>
      </w:pPr>
      <w:r>
        <w:rPr>
          <w:color w:val="AF0000"/>
        </w:rPr>
        <w:t>三、贡献判断维度</w:t>
      </w:r>
    </w:p>
    <w:p>
      <w:pPr/>
      <w:r>
        <w:t>以下维度用于判断成员在本职能内的实际贡献，是统一判断框架，不机械换算为公开分数。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AF0000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维度</w:t>
            </w:r>
          </w:p>
        </w:tc>
        <w:tc>
          <w:tcPr>
            <w:tcW w:type="dxa" w:w="3389"/>
            <w:shd w:fill="AF0000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判断内容</w:t>
            </w:r>
          </w:p>
        </w:tc>
        <w:tc>
          <w:tcPr>
            <w:tcW w:type="dxa" w:w="3389"/>
            <w:shd w:fill="AF0000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主要依据</w:t>
            </w:r>
          </w:p>
        </w:tc>
      </w:tr>
      <w:tr>
        <w:tc>
          <w:tcPr>
            <w:tcW w:type="dxa" w:w="3389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实际工作量</w:t>
            </w:r>
          </w:p>
        </w:tc>
        <w:tc>
          <w:tcPr>
            <w:tcW w:type="dxa" w:w="3389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完成工作的规模、持续时间和交付量。</w:t>
            </w:r>
          </w:p>
        </w:tc>
        <w:tc>
          <w:tcPr>
            <w:tcW w:type="dxa" w:w="3389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文件、资产、文档、代码、版本记录</w:t>
            </w:r>
          </w:p>
        </w:tc>
      </w:tr>
      <w:tr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任务复杂度</w:t>
            </w:r>
          </w:p>
        </w:tc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独立判断、设计、技术处理、修改和协调的难度。</w:t>
            </w:r>
          </w:p>
        </w:tc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任务说明、修改轮次、原型过程</w:t>
            </w:r>
          </w:p>
        </w:tc>
      </w:tr>
      <w:tr>
        <w:tc>
          <w:tcPr>
            <w:tcW w:type="dxa" w:w="3389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责任范围</w:t>
            </w:r>
          </w:p>
        </w:tc>
        <w:tc>
          <w:tcPr>
            <w:tcW w:type="dxa" w:w="3389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单次任务或持续负责一个模块直到交付。</w:t>
            </w:r>
          </w:p>
        </w:tc>
        <w:tc>
          <w:tcPr>
            <w:tcW w:type="dxa" w:w="3389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负责人记录、阶段目标、持续跟进</w:t>
            </w:r>
          </w:p>
        </w:tc>
      </w:tr>
      <w:tr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项目影响</w:t>
            </w:r>
          </w:p>
        </w:tc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对核心机制、关卡、角色、视觉、技术或最终体验的影响。</w:t>
            </w:r>
          </w:p>
        </w:tc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版本变化、采用记录、成品</w:t>
            </w:r>
          </w:p>
        </w:tc>
      </w:tr>
      <w:tr>
        <w:tc>
          <w:tcPr>
            <w:tcW w:type="dxa" w:w="3389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执行可靠性</w:t>
            </w:r>
          </w:p>
        </w:tc>
        <w:tc>
          <w:tcPr>
            <w:tcW w:type="dxa" w:w="3389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按约定完成、反馈风险并完成必要修改和测试。</w:t>
            </w:r>
          </w:p>
        </w:tc>
        <w:tc>
          <w:tcPr>
            <w:tcW w:type="dxa" w:w="3389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提交时间、任务状态、修改记录</w:t>
            </w:r>
          </w:p>
        </w:tc>
      </w:tr>
      <w:tr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有效创意</w:t>
            </w:r>
          </w:p>
        </w:tc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提出可执行方案、解决具体问题并推动项目。</w:t>
            </w:r>
          </w:p>
        </w:tc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提案、会议纪要、原型、采用记录</w:t>
            </w:r>
          </w:p>
        </w:tc>
      </w:tr>
      <w:tr>
        <w:tc>
          <w:tcPr>
            <w:tcW w:type="dxa" w:w="3389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协作贡献</w:t>
            </w:r>
          </w:p>
        </w:tc>
        <w:tc>
          <w:tcPr>
            <w:tcW w:type="dxa" w:w="3389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跨部门衔接、整合反馈、补位或解决阻塞。</w:t>
            </w:r>
          </w:p>
        </w:tc>
        <w:tc>
          <w:tcPr>
            <w:tcW w:type="dxa" w:w="3389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交接、协作和任务记录</w:t>
            </w:r>
          </w:p>
        </w:tc>
      </w:tr>
    </w:tbl>
    <w:p>
      <w:pPr/>
      <w:r>
        <w:t>活跃度只看有效参与，不统计群聊消息数量。讨论、交付、修改、测试、技术反馈等能够推动项目的行为才进入记录。</w:t>
      </w:r>
    </w:p>
    <w:p>
      <w:pPr>
        <w:pStyle w:val="Heading1"/>
      </w:pPr>
      <w:r>
        <w:rPr>
          <w:color w:val="AF0000"/>
        </w:rPr>
        <w:t>四、任务完成如何认定</w:t>
      </w:r>
    </w:p>
    <w:p>
      <w:pPr/>
      <w:r>
        <w:t>任务完成率只反映执行情况，不直接等于贡献度。记录任务时同时标明任务性质和实际承担程度。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AF0000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任务性质</w:t>
            </w:r>
          </w:p>
        </w:tc>
        <w:tc>
          <w:tcPr>
            <w:tcW w:type="dxa" w:w="3389"/>
            <w:shd w:fill="AF0000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定义</w:t>
            </w:r>
          </w:p>
        </w:tc>
        <w:tc>
          <w:tcPr>
            <w:tcW w:type="dxa" w:w="3389"/>
            <w:shd w:fill="AF0000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例子</w:t>
            </w:r>
          </w:p>
        </w:tc>
      </w:tr>
      <w:tr>
        <w:tc>
          <w:tcPr>
            <w:tcW w:type="dxa" w:w="3389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基础参与</w:t>
            </w:r>
          </w:p>
        </w:tc>
        <w:tc>
          <w:tcPr>
            <w:tcW w:type="dxa" w:w="3389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范围明确、工作量较小。</w:t>
            </w:r>
          </w:p>
        </w:tc>
        <w:tc>
          <w:tcPr>
            <w:tcW w:type="dxa" w:w="3389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问卷、资料整理、常规测试、基础反馈</w:t>
            </w:r>
          </w:p>
        </w:tc>
      </w:tr>
      <w:tr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制作任务</w:t>
            </w:r>
          </w:p>
        </w:tc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形成明确可交付成果。</w:t>
            </w:r>
          </w:p>
        </w:tc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场景资产、代码、NPC初稿、音效、关卡草案</w:t>
            </w:r>
          </w:p>
        </w:tc>
      </w:tr>
      <w:tr>
        <w:tc>
          <w:tcPr>
            <w:tcW w:type="dxa" w:w="3389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核心制作</w:t>
            </w:r>
          </w:p>
        </w:tc>
        <w:tc>
          <w:tcPr>
            <w:tcW w:type="dxa" w:w="3389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直接影响主要内容，需要设计、制作、测试和修改。</w:t>
            </w:r>
          </w:p>
        </w:tc>
        <w:tc>
          <w:tcPr>
            <w:tcW w:type="dxa" w:w="3389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完整关卡、核心机制、主要角色视觉、关键系统</w:t>
            </w:r>
          </w:p>
        </w:tc>
      </w:tr>
      <w:tr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模块负责</w:t>
            </w:r>
          </w:p>
        </w:tc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持续负责某模块的计划、协调、迭代和最终交付。</w:t>
            </w:r>
          </w:p>
        </w:tc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角色系统、一组关卡、UI系统、核心程序模块</w:t>
            </w:r>
          </w:p>
        </w:tc>
      </w:tr>
    </w:tbl>
    <w:p>
      <w:pPr/>
      <w:r>
        <w:t>完成全部基础任务说明执行稳定，但不会自动等同于承担核心制作。承担高复杂度任务也不会仅凭任务名称获得更高认定，仍需看实际完成度、修改情况和承担范围。临时接手、补位、返工和额外修改，只要有记录，均按实际工作计入。</w:t>
      </w:r>
    </w:p>
    <w:p>
      <w:pPr>
        <w:pStyle w:val="Heading1"/>
      </w:pPr>
      <w:r>
        <w:rPr>
          <w:color w:val="AF0000"/>
        </w:rPr>
        <w:t>五、创意提案如何认定</w:t>
      </w:r>
    </w:p>
    <w:p>
      <w:pPr/>
      <w:r>
        <w:t>创意贡献按实际发展阶段记录，不以“最早提过类似想法”作为唯一依据。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AF0000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阶段</w:t>
            </w:r>
          </w:p>
        </w:tc>
        <w:tc>
          <w:tcPr>
            <w:tcW w:type="dxa" w:w="5083"/>
            <w:shd w:fill="AF0000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认定方式</w:t>
            </w:r>
          </w:p>
        </w:tc>
      </w:tr>
      <w:tr>
        <w:tc>
          <w:tcPr>
            <w:tcW w:type="dxa" w:w="5083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原始提案</w:t>
            </w:r>
          </w:p>
        </w:tc>
        <w:tc>
          <w:tcPr>
            <w:tcW w:type="dxa" w:w="5083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首次提出具有明确方向、能够被后续发展的有效概念。</w:t>
            </w:r>
          </w:p>
        </w:tc>
      </w:tr>
      <w:tr>
        <w:tc>
          <w:tcPr>
            <w:tcW w:type="dxa" w:w="5083"/>
            <w:shd w:fill="F4F4F4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方案深化</w:t>
            </w:r>
          </w:p>
        </w:tc>
        <w:tc>
          <w:tcPr>
            <w:tcW w:type="dxa" w:w="5083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发展成规则、流程、关卡、人物或可执行方案。</w:t>
            </w:r>
          </w:p>
        </w:tc>
      </w:tr>
      <w:tr>
        <w:tc>
          <w:tcPr>
            <w:tcW w:type="dxa" w:w="5083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原型 / 制作</w:t>
            </w:r>
          </w:p>
        </w:tc>
        <w:tc>
          <w:tcPr>
            <w:tcW w:type="dxa" w:w="5083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做成可测试原型、资产、代码、文本或其他实际内容。</w:t>
            </w:r>
          </w:p>
        </w:tc>
      </w:tr>
      <w:tr>
        <w:tc>
          <w:tcPr>
            <w:tcW w:type="dxa" w:w="5083"/>
            <w:shd w:fill="F4F4F4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迭代</w:t>
            </w:r>
          </w:p>
        </w:tc>
        <w:tc>
          <w:tcPr>
            <w:tcW w:type="dxa" w:w="5083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根据测试、技术或制作反馈继续修改并解决问题。</w:t>
            </w:r>
          </w:p>
        </w:tc>
      </w:tr>
      <w:tr>
        <w:tc>
          <w:tcPr>
            <w:tcW w:type="dxa" w:w="5083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最终实现</w:t>
            </w:r>
          </w:p>
        </w:tc>
        <w:tc>
          <w:tcPr>
            <w:tcW w:type="dxa" w:w="5083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进入最终版本，并对成品产生可识别影响。</w:t>
            </w:r>
          </w:p>
        </w:tc>
      </w:tr>
    </w:tbl>
    <w:p>
      <w:pPr/>
      <w:r>
        <w:t>例如一名成员提出“多数 NPC 可以通过日程存在”，另一名成员将其设计成系统，之后还有成员负责问卷、数据整理、关卡应用和程序实现。最终记录分别体现各阶段贡献。</w:t>
      </w:r>
    </w:p>
    <w:p>
      <w:pPr>
        <w:pStyle w:val="Heading1"/>
      </w:pPr>
      <w:r>
        <w:rPr>
          <w:color w:val="AF0000"/>
        </w:rPr>
        <w:t>六、不同职能的判断口径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AF0000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职能</w:t>
            </w:r>
          </w:p>
        </w:tc>
        <w:tc>
          <w:tcPr>
            <w:tcW w:type="dxa" w:w="5083"/>
            <w:shd w:fill="AF0000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主要观察内容</w:t>
            </w:r>
          </w:p>
        </w:tc>
      </w:tr>
      <w:tr>
        <w:tc>
          <w:tcPr>
            <w:tcW w:type="dxa" w:w="5083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策划</w:t>
            </w:r>
          </w:p>
        </w:tc>
        <w:tc>
          <w:tcPr>
            <w:tcW w:type="dxa" w:w="5083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机制、关卡、角色、叙事或系统设计；文档；原型与测试；迭代；解决设计问题。</w:t>
            </w:r>
          </w:p>
        </w:tc>
      </w:tr>
      <w:tr>
        <w:tc>
          <w:tcPr>
            <w:tcW w:type="dxa" w:w="5083"/>
            <w:shd w:fill="F4F4F4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美术</w:t>
            </w:r>
          </w:p>
        </w:tc>
        <w:tc>
          <w:tcPr>
            <w:tcW w:type="dxa" w:w="5083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资产产出；视觉方案；修改与统一；资产可用性；对整体视觉或模块的责任。</w:t>
            </w:r>
          </w:p>
        </w:tc>
      </w:tr>
      <w:tr>
        <w:tc>
          <w:tcPr>
            <w:tcW w:type="dxa" w:w="5083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程序</w:t>
            </w:r>
          </w:p>
        </w:tc>
        <w:tc>
          <w:tcPr>
            <w:tcW w:type="dxa" w:w="5083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功能实现；技术方案；稳定性；调试；工具支持；关键模块维护。</w:t>
            </w:r>
          </w:p>
        </w:tc>
      </w:tr>
      <w:tr>
        <w:tc>
          <w:tcPr>
            <w:tcW w:type="dxa" w:w="5083"/>
            <w:shd w:fill="F4F4F4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音频 / 音乐</w:t>
            </w:r>
          </w:p>
        </w:tc>
        <w:tc>
          <w:tcPr>
            <w:tcW w:type="dxa" w:w="5083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音乐、音效或音频系统产出；适配、修改与最终使用。</w:t>
            </w:r>
          </w:p>
        </w:tc>
      </w:tr>
      <w:tr>
        <w:tc>
          <w:tcPr>
            <w:tcW w:type="dxa" w:w="5083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测试 / 调研</w:t>
            </w:r>
          </w:p>
        </w:tc>
        <w:tc>
          <w:tcPr>
            <w:tcW w:type="dxa" w:w="5083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测试设计、有效反馈、问题定位、数据或田野材料整理及其对迭代的作用。</w:t>
            </w:r>
          </w:p>
        </w:tc>
      </w:tr>
      <w:tr>
        <w:tc>
          <w:tcPr>
            <w:tcW w:type="dxa" w:w="5083"/>
            <w:shd w:fill="F4F4F4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制作 / 协调</w:t>
            </w:r>
          </w:p>
        </w:tc>
        <w:tc>
          <w:tcPr>
            <w:tcW w:type="dxa" w:w="5083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计划、任务拆分、跨部门衔接、风险处理、进度跟进及解决阻塞。</w:t>
            </w:r>
          </w:p>
        </w:tc>
      </w:tr>
    </w:tbl>
    <w:p>
      <w:pPr>
        <w:pStyle w:val="Heading1"/>
      </w:pPr>
      <w:r>
        <w:rPr>
          <w:color w:val="AF0000"/>
        </w:rPr>
        <w:t>七、贡献记录与网站公开</w:t>
      </w:r>
    </w:p>
    <w:p>
      <w:pPr/>
      <w:r>
        <w:t>网站“项目过程”持续展示阶段任务、会议结论、版本变化、成员产出和实际进入项目的内容。公开记录用于呈现共同创作过程和工作出处，不制作成员排行榜。</w:t>
      </w:r>
    </w:p>
    <w:p>
      <w:pPr/>
      <w:r>
        <w:t>内部贡献记录补充网站无法完整呈现的信息。重要记录至少包含：成员、职能、工作内容、任务性质、提交时间、完成状态、修改情况、是否进入后续版本，以及对应文件或页面位置。</w:t>
      </w:r>
    </w:p>
    <w:p>
      <w:pPr/>
      <w:r>
        <w:t>项目负责人负责统一维护最终认定口径。各模块负责人可以协助整理阶段记录，但最终 Credit 以项目负责人审核后的全过程记录为准。</w:t>
      </w:r>
    </w:p>
    <w:p>
      <w:pPr>
        <w:pStyle w:val="Heading1"/>
      </w:pPr>
      <w:r>
        <w:rPr>
          <w:color w:val="AF0000"/>
        </w:rPr>
        <w:t>八、最终 Credit 的层级</w:t>
      </w:r>
    </w:p>
    <w:p>
      <w:pPr/>
      <w:r>
        <w:t>最终 Credit 先按实际职能分类，再确定层级。层级反映实际承担范围，不是荣誉称号。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AF0000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层级</w:t>
            </w:r>
          </w:p>
        </w:tc>
        <w:tc>
          <w:tcPr>
            <w:tcW w:type="dxa" w:w="3389"/>
            <w:shd w:fill="AF0000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适用情况</w:t>
            </w:r>
          </w:p>
        </w:tc>
        <w:tc>
          <w:tcPr>
            <w:tcW w:type="dxa" w:w="3389"/>
            <w:shd w:fill="AF0000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最终处理</w:t>
            </w:r>
          </w:p>
        </w:tc>
      </w:tr>
      <w:tr>
        <w:tc>
          <w:tcPr>
            <w:tcW w:type="dxa" w:w="3389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负责人 / 主导职能</w:t>
            </w:r>
          </w:p>
        </w:tc>
        <w:tc>
          <w:tcPr>
            <w:tcW w:type="dxa" w:w="3389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对某一职能或模块承担持续方向、整合和最终交付责任。</w:t>
            </w:r>
          </w:p>
        </w:tc>
        <w:tc>
          <w:tcPr>
            <w:tcW w:type="dxa" w:w="3389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按实际职责使用对应负责人或主导职能名称</w:t>
            </w:r>
          </w:p>
        </w:tc>
      </w:tr>
      <w:tr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核心制作</w:t>
            </w:r>
          </w:p>
        </w:tc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持续承担主要制作，对成品有较大且可追溯的贡献。</w:t>
            </w:r>
          </w:p>
        </w:tc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列入对应职能核心制作</w:t>
            </w:r>
          </w:p>
        </w:tc>
      </w:tr>
      <w:tr>
        <w:tc>
          <w:tcPr>
            <w:tcW w:type="dxa" w:w="3389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制作成员</w:t>
            </w:r>
          </w:p>
        </w:tc>
        <w:tc>
          <w:tcPr>
            <w:tcW w:type="dxa" w:w="3389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有稳定、明确的专业产出，承担完整制作任务。</w:t>
            </w:r>
          </w:p>
        </w:tc>
        <w:tc>
          <w:tcPr>
            <w:tcW w:type="dxa" w:w="3389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按实际职能署名</w:t>
            </w:r>
          </w:p>
        </w:tc>
      </w:tr>
      <w:tr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追加贡献</w:t>
            </w:r>
          </w:p>
        </w:tc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有明确有效贡献，但范围较局部或持续程度较低。</w:t>
            </w:r>
          </w:p>
        </w:tc>
        <w:tc>
          <w:tcPr>
            <w:tcW w:type="dxa" w:w="3389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使用追加策划、追加美术等相应表述</w:t>
            </w:r>
          </w:p>
        </w:tc>
      </w:tr>
      <w:tr>
        <w:tc>
          <w:tcPr>
            <w:tcW w:type="dxa" w:w="3389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参与贡献</w:t>
            </w:r>
          </w:p>
        </w:tc>
        <w:tc>
          <w:tcPr>
            <w:tcW w:type="dxa" w:w="3389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通过NPC设计、提案、测试、调研等方式留下有效内容。</w:t>
            </w:r>
          </w:p>
        </w:tc>
        <w:tc>
          <w:tcPr>
            <w:tcW w:type="dxa" w:w="3389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进入参与贡献名单并标注主要贡献类型</w:t>
            </w:r>
          </w:p>
        </w:tc>
      </w:tr>
    </w:tbl>
    <w:p>
      <w:pPr/>
      <w:r>
        <w:t>现阶段的“核心策划”“主美”“主程序”等属于项目组织方式，不自动锁定最终 Credit。项目结束时按实际职责和实际完成工作确认最终职能名称。</w:t>
      </w:r>
    </w:p>
    <w:p>
      <w:pPr>
        <w:pStyle w:val="Heading1"/>
      </w:pPr>
      <w:r>
        <w:rPr>
          <w:color w:val="AF0000"/>
        </w:rPr>
        <w:t>九、同一职能内的署名顺序</w:t>
      </w:r>
    </w:p>
    <w:p>
      <w:pPr/>
      <w:r>
        <w:t>同一职能、同一层级内的顺序由项目负责人根据全过程记录统一判断，重点看实际工作量、任务复杂度、责任范围、持续投入和对最终成品的影响。</w:t>
      </w:r>
    </w:p>
    <w:p>
      <w:pPr/>
      <w:r>
        <w:t>任务完成率、加入时间和群聊活跃度均不单独决定顺序。完成全部基础任务与持续承担核心模块属于不同性质的贡献；承担核心任务但实际交付不足，也不会仅因任务级别排在前面。</w:t>
      </w:r>
    </w:p>
    <w:p>
      <w:pPr/>
      <w:r>
        <w:t>如果多名成员贡献接近，现有记录不足以形成稳定差异，则不进行主观细分，采用统一的中性排序方式。中性排序在最终 Credit 制作前统一确定，并对同组成员一致适用。</w:t>
      </w:r>
    </w:p>
    <w:p>
      <w:pPr>
        <w:pStyle w:val="Heading1"/>
      </w:pPr>
      <w:r>
        <w:rPr>
          <w:color w:val="AF0000"/>
        </w:rPr>
        <w:t>十、100 人参与身份与专业 Credit</w:t>
      </w:r>
    </w:p>
    <w:p>
      <w:pPr/>
      <w:r>
        <w:t>项目同时保留专业制作 Credit 和 100 人参与名单。专业制作 Credit 记录实际职能和制作责任；100 人参与名单记录共同参与项目的身份。</w:t>
      </w:r>
    </w:p>
    <w:p>
      <w:pPr/>
      <w:r>
        <w:t>参与者不会因为专业贡献范围较小而失去项目参与署名；持续承担核心制作的人也会在专业 Credit 中获得与实际工作相符的职能记录。两套名单解决不同问题，不互相替代。</w:t>
      </w:r>
    </w:p>
    <w:p>
      <w:pPr>
        <w:pStyle w:val="Heading1"/>
      </w:pPr>
      <w:r>
        <w:rPr>
          <w:color w:val="AF0000"/>
        </w:rPr>
        <w:t>十一、最终确认流程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AF0000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阶段</w:t>
            </w:r>
          </w:p>
        </w:tc>
        <w:tc>
          <w:tcPr>
            <w:tcW w:type="dxa" w:w="5083"/>
            <w:shd w:fill="AF0000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处理方式</w:t>
            </w:r>
          </w:p>
        </w:tc>
      </w:tr>
      <w:tr>
        <w:tc>
          <w:tcPr>
            <w:tcW w:type="dxa" w:w="5083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持续记录</w:t>
            </w:r>
          </w:p>
        </w:tc>
        <w:tc>
          <w:tcPr>
            <w:tcW w:type="dxa" w:w="5083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项目进行中同步记录任务、产出、提案、修改、测试和版本变化。</w:t>
            </w:r>
          </w:p>
        </w:tc>
      </w:tr>
      <w:tr>
        <w:tc>
          <w:tcPr>
            <w:tcW w:type="dxa" w:w="5083"/>
            <w:shd w:fill="F4F4F4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阶段复核</w:t>
            </w:r>
          </w:p>
        </w:tc>
        <w:tc>
          <w:tcPr>
            <w:tcW w:type="dxa" w:w="5083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重要阶段结束后检查记录完整性，及时补充遗漏。</w:t>
            </w:r>
          </w:p>
        </w:tc>
      </w:tr>
      <w:tr>
        <w:tc>
          <w:tcPr>
            <w:tcW w:type="dxa" w:w="5083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形成初稿</w:t>
            </w:r>
          </w:p>
        </w:tc>
        <w:tc>
          <w:tcPr>
            <w:tcW w:type="dxa" w:w="5083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项目负责人依据最终版本和全过程记录形成 Credit 初稿。</w:t>
            </w:r>
          </w:p>
        </w:tc>
      </w:tr>
      <w:tr>
        <w:tc>
          <w:tcPr>
            <w:tcW w:type="dxa" w:w="5083"/>
            <w:shd w:fill="F4F4F4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个人核对</w:t>
            </w:r>
          </w:p>
        </w:tc>
        <w:tc>
          <w:tcPr>
            <w:tcW w:type="dxa" w:w="5083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成员核对姓名、职能和主要贡献记录，可补充遗漏或纠正事实错误。</w:t>
            </w:r>
          </w:p>
        </w:tc>
      </w:tr>
      <w:tr>
        <w:tc>
          <w:tcPr>
            <w:tcW w:type="dxa" w:w="5083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统一复核</w:t>
            </w:r>
          </w:p>
        </w:tc>
        <w:tc>
          <w:tcPr>
            <w:tcW w:type="dxa" w:w="5083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项目负责人核对补充内容与现有记录，按同一规则完成最终认定。</w:t>
            </w:r>
          </w:p>
        </w:tc>
      </w:tr>
      <w:tr>
        <w:tc>
          <w:tcPr>
            <w:tcW w:type="dxa" w:w="5083"/>
            <w:shd w:fill="F4F4F4"/>
          </w:tcPr>
          <w:p>
            <w:pPr>
              <w:spacing w:after="20"/>
            </w:pPr>
            <w:r/>
            <w:r>
              <w:rPr>
                <w:b/>
                <w:color w:val="000000"/>
                <w:sz w:val="16"/>
              </w:rPr>
              <w:t>锁定发布</w:t>
            </w:r>
          </w:p>
        </w:tc>
        <w:tc>
          <w:tcPr>
            <w:tcW w:type="dxa" w:w="5083"/>
            <w:shd w:fill="F4F4F4"/>
          </w:tcPr>
          <w:p>
            <w:pPr>
              <w:spacing w:after="20"/>
            </w:pPr>
            <w:r/>
            <w:r>
              <w:rPr>
                <w:b w:val="0"/>
                <w:color w:val="000000"/>
                <w:sz w:val="16"/>
              </w:rPr>
              <w:t>Credit 锁定后进入游戏、网站和其他正式发布材料。</w:t>
            </w:r>
          </w:p>
        </w:tc>
      </w:tr>
    </w:tbl>
    <w:p>
      <w:pPr/>
      <w:r>
        <w:t>个人核对用于纠正姓名、职能描述和事实记录中的遗漏，不等同于成员自行选择署名层级或排序。对贡献归属存在不同理解时，以可核对的项目记录、实际交付和本规则的统一口径为依据。</w:t>
      </w:r>
    </w:p>
    <w:p>
      <w:pPr>
        <w:pStyle w:val="Heading1"/>
      </w:pPr>
      <w:r>
        <w:rPr>
          <w:color w:val="AF0000"/>
        </w:rPr>
        <w:t>十二、特殊情况处理</w:t>
      </w:r>
    </w:p>
    <w:p>
      <w:pPr/>
      <w:r>
        <w:rPr>
          <w:b/>
          <w:color w:val="AF0000"/>
        </w:rPr>
        <w:t>中途退出｜</w:t>
      </w:r>
      <w:r>
        <w:t>已完成的有效工作照常记录；未完成或未实际承担的后续职责不计入。</w:t>
      </w:r>
    </w:p>
    <w:p>
      <w:pPr/>
      <w:r>
        <w:rPr>
          <w:b/>
          <w:color w:val="AF0000"/>
        </w:rPr>
        <w:t>任务取消｜</w:t>
      </w:r>
      <w:r>
        <w:t>按取消前已完成的有效工作记录，不因最终未使用而自动归零。</w:t>
      </w:r>
    </w:p>
    <w:p>
      <w:pPr/>
      <w:r>
        <w:rPr>
          <w:b/>
          <w:color w:val="AF0000"/>
        </w:rPr>
        <w:t>多人共同完成｜</w:t>
      </w:r>
      <w:r>
        <w:t>分别记录各自承担部分；无法合理拆分且贡献接近时采用共同署名。</w:t>
      </w:r>
    </w:p>
    <w:p>
      <w:pPr/>
      <w:r>
        <w:rPr>
          <w:b/>
          <w:color w:val="AF0000"/>
        </w:rPr>
        <w:t>临时补位｜</w:t>
      </w:r>
      <w:r>
        <w:t>实际完成的补位工作计入贡献；原负责人只记录其实际完成部分。</w:t>
      </w:r>
    </w:p>
    <w:p>
      <w:pPr/>
      <w:r>
        <w:rPr>
          <w:b/>
          <w:color w:val="AF0000"/>
        </w:rPr>
        <w:t>相近提案｜</w:t>
      </w:r>
      <w:r>
        <w:t>依据有时间记录的具体提案、后续发展和实际落地分别判断，不仅凭“谁先说过”认定全部归属。</w:t>
      </w:r>
    </w:p>
    <w:p>
      <w:pPr/>
      <w:r>
        <w:rPr>
          <w:b/>
          <w:color w:val="AF0000"/>
        </w:rPr>
        <w:t>记录缺失｜</w:t>
      </w:r>
      <w:r>
        <w:t>结合现有文件、版本和相关记录核对；无法核实的内容不作为调整署名顺序的主要依据。</w:t>
      </w:r>
    </w:p>
    <w:p>
      <w:pPr/>
      <w:r>
        <w:rPr>
          <w:b/>
          <w:color w:val="AF0000"/>
        </w:rPr>
        <w:t>公开姓名｜</w:t>
      </w:r>
      <w:r>
        <w:t>正式发布前统一确认署名名称；涉及未成年人或不希望公开真实姓名的参与者，按项目确认的公开方式处理。</w:t>
      </w:r>
    </w:p>
    <w:p>
      <w:pPr>
        <w:pStyle w:val="Heading1"/>
      </w:pPr>
      <w:r>
        <w:rPr>
          <w:color w:val="AF0000"/>
        </w:rPr>
        <w:t>十三、项目负责人的最终认定职责</w:t>
      </w:r>
    </w:p>
    <w:p>
      <w:pPr/>
      <w:r>
        <w:t>项目负责人负责本规则的统一解释和最终执行，并依据全过程记录对职能、层级和同层排序作最终确认。判断必须使用同一套标准，不能因个人关系、单次表现或临时印象改变口径。</w:t>
      </w:r>
    </w:p>
    <w:p>
      <w:pPr/>
      <w:r>
        <w:t>最终认定不是对成员个人能力的评价，只针对其在本项目中的实际工作。网站“项目过程”和贡献记录将保留项目推进依据，使最终 Credit 可以回溯到具体工作，而不是依赖事后印象。</w:t>
      </w:r>
    </w:p>
    <w:p>
      <w:pPr/>
      <w:r>
        <w:t>如项目过程中出现本规则未覆盖的新型贡献，由项目负责人按照“实际工作、可核对记录、同岗一致”的原则处理，并将处理口径同步用于后续相同情况。</w:t>
      </w:r>
    </w:p>
    <w:p>
      <w:pPr>
        <w:pStyle w:val="Heading1"/>
      </w:pPr>
      <w:r>
        <w:rPr>
          <w:color w:val="AF0000"/>
        </w:rPr>
        <w:t>十四、制定依据</w:t>
      </w:r>
    </w:p>
    <w:p>
      <w:pPr/>
      <w:r>
        <w:t>本规则参考成熟游戏项目常用的职能署名逻辑，并参考国际游戏开发者协会（IGDA）关于游戏 Credit 的行业指导：明确谁应被署名、实际承担什么职能、如何收集和管理署名信息，并强调准确记录贡献、避免遗漏或错误归属。</w:t>
      </w:r>
    </w:p>
    <w:p>
      <w:pPr/>
      <w:r>
        <w:t>本项目在此基础上增加全过程网站留痕、多人共同创作记录和同职能内贡献排序规则，以适应 100 人参与、任务类型差异较大的实际组织方式。</w:t>
      </w:r>
    </w:p>
    <w:sectPr w:rsidR="00FC693F" w:rsidRPr="0006063C" w:rsidSect="00034616">
      <w:footerReference w:type="default" r:id="rId9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F5F5F"/>
        <w:sz w:val="15"/>
      </w:rPr>
      <w:t>WHAT 100 PEOPLE DO TO A GAME  /  CREDIT POLICY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80"/>
    </w:pPr>
    <w:rPr>
      <w:rFonts w:ascii="Arial" w:hAnsi="Arial" w:eastAsia="Microsoft YaHei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Microsoft YaHei"/>
      <w:b/>
      <w:bCs/>
      <w:color w:val="AF0000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AF00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AF0000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AF0000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AF0000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AF00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AF0000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AF00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Microsoft YaHei"/>
      <w:b/>
      <w:color w:val="17365D" w:themeColor="text2" w:themeShade="B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AF0000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AF0000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AF0000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AF0000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AF0000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AF0000" w:themeColor="accent1"/>
      </w:pBdr>
      <w:spacing w:before="200" w:after="280"/>
      <w:ind w:left="936" w:right="936"/>
    </w:pPr>
    <w:rPr>
      <w:b/>
      <w:bCs/>
      <w:i/>
      <w:iCs/>
      <w:color w:val="AF00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AF0000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AF0000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AF0000" w:themeColor="accent1"/>
        <w:bottom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0000" w:themeColor="accent1"/>
          <w:left w:val="nil"/>
          <w:bottom w:val="single" w:sz="8" w:space="0" w:color="AF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0000" w:themeColor="accent1"/>
          <w:left w:val="nil"/>
          <w:bottom w:val="single" w:sz="8" w:space="0" w:color="AF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F0000" w:themeColor="accent1"/>
        <w:left w:val="single" w:sz="8" w:space="0" w:color="AF0000" w:themeColor="accent1"/>
        <w:bottom w:val="single" w:sz="8" w:space="0" w:color="AF0000" w:themeColor="accent1"/>
        <w:right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F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</w:tcPr>
    </w:tblStylePr>
    <w:tblStylePr w:type="band1Horz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F0000" w:themeColor="accent1"/>
        <w:left w:val="single" w:sz="8" w:space="0" w:color="AF0000" w:themeColor="accent1"/>
        <w:bottom w:val="single" w:sz="8" w:space="0" w:color="AF0000" w:themeColor="accent1"/>
        <w:right w:val="single" w:sz="8" w:space="0" w:color="AF0000" w:themeColor="accent1"/>
        <w:insideH w:val="single" w:sz="8" w:space="0" w:color="AF0000" w:themeColor="accent1"/>
        <w:insideV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18" w:space="0" w:color="AF0000" w:themeColor="accent1"/>
          <w:right w:val="single" w:sz="8" w:space="0" w:color="AF0000" w:themeColor="accent1"/>
          <w:insideH w:val="nil"/>
          <w:insideV w:val="single" w:sz="8" w:space="0" w:color="AF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  <w:insideH w:val="nil"/>
          <w:insideV w:val="single" w:sz="8" w:space="0" w:color="AF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</w:tcPr>
    </w:tblStylePr>
    <w:tblStylePr w:type="band1Vert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  <w:insideV w:val="single" w:sz="8" w:space="0" w:color="AF0000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  <w:insideV w:val="single" w:sz="8" w:space="0" w:color="AF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AF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F00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F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F00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F0000" w:themeColor="accent1"/>
        <w:bottom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F0000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AF0000" w:themeColor="accent1"/>
          <w:bottom w:val="single" w:sz="8" w:space="0" w:color="A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F0000" w:themeColor="accent1"/>
          <w:bottom w:val="single" w:sz="8" w:space="0" w:color="AF0000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F0000" w:themeColor="accent1"/>
        <w:left w:val="single" w:sz="8" w:space="0" w:color="AF0000" w:themeColor="accent1"/>
        <w:bottom w:val="single" w:sz="8" w:space="0" w:color="AF0000" w:themeColor="accent1"/>
        <w:right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F00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F00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F00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F00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F0000" w:themeColor="accent1"/>
        <w:left w:val="single" w:sz="8" w:space="0" w:color="AF0000" w:themeColor="accent1"/>
        <w:bottom w:val="single" w:sz="8" w:space="0" w:color="AF0000" w:themeColor="accent1"/>
        <w:right w:val="single" w:sz="8" w:space="0" w:color="AF0000" w:themeColor="accent1"/>
        <w:insideH w:val="single" w:sz="8" w:space="0" w:color="AF0000" w:themeColor="accent1"/>
        <w:insideV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F0000" w:themeColor="accent1"/>
          <w:insideV w:val="single" w:sz="6" w:space="0" w:color="AF0000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F00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F00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F00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F00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00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AF0000" w:themeColor="accent1"/>
        <w:bottom w:val="single" w:sz="4" w:space="0" w:color="AF0000" w:themeColor="accent1"/>
        <w:right w:val="single" w:sz="4" w:space="0" w:color="AF0000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AF00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AF0000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AF0000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AF0000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AF00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AF0000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AF00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AF0000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AF0000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AF0000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AF0000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AF0000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AF0000" w:themeColor="accent1"/>
      </w:pBdr>
      <w:spacing w:before="200" w:after="280"/>
      <w:ind w:left="936" w:right="936"/>
    </w:pPr>
    <w:rPr>
      <w:b/>
      <w:bCs/>
      <w:i/>
      <w:iCs/>
      <w:color w:val="AF00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AF0000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AF0000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AF0000" w:themeColor="accent1"/>
        <w:bottom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0000" w:themeColor="accent1"/>
          <w:left w:val="nil"/>
          <w:bottom w:val="single" w:sz="8" w:space="0" w:color="AF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0000" w:themeColor="accent1"/>
          <w:left w:val="nil"/>
          <w:bottom w:val="single" w:sz="8" w:space="0" w:color="AF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F0000" w:themeColor="accent1"/>
        <w:left w:val="single" w:sz="8" w:space="0" w:color="AF0000" w:themeColor="accent1"/>
        <w:bottom w:val="single" w:sz="8" w:space="0" w:color="AF0000" w:themeColor="accent1"/>
        <w:right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F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</w:tcPr>
    </w:tblStylePr>
    <w:tblStylePr w:type="band1Horz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F0000" w:themeColor="accent1"/>
        <w:left w:val="single" w:sz="8" w:space="0" w:color="AF0000" w:themeColor="accent1"/>
        <w:bottom w:val="single" w:sz="8" w:space="0" w:color="AF0000" w:themeColor="accent1"/>
        <w:right w:val="single" w:sz="8" w:space="0" w:color="AF0000" w:themeColor="accent1"/>
        <w:insideH w:val="single" w:sz="8" w:space="0" w:color="AF0000" w:themeColor="accent1"/>
        <w:insideV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18" w:space="0" w:color="AF0000" w:themeColor="accent1"/>
          <w:right w:val="single" w:sz="8" w:space="0" w:color="AF0000" w:themeColor="accent1"/>
          <w:insideH w:val="nil"/>
          <w:insideV w:val="single" w:sz="8" w:space="0" w:color="AF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  <w:insideH w:val="nil"/>
          <w:insideV w:val="single" w:sz="8" w:space="0" w:color="AF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</w:tcPr>
    </w:tblStylePr>
    <w:tblStylePr w:type="band1Vert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  <w:insideV w:val="single" w:sz="8" w:space="0" w:color="AF0000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  <w:insideV w:val="single" w:sz="8" w:space="0" w:color="AF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AF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F00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F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F00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F0000" w:themeColor="accent1"/>
        <w:bottom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F0000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AF0000" w:themeColor="accent1"/>
          <w:bottom w:val="single" w:sz="8" w:space="0" w:color="A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F0000" w:themeColor="accent1"/>
          <w:bottom w:val="single" w:sz="8" w:space="0" w:color="AF0000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F0000" w:themeColor="accent1"/>
        <w:left w:val="single" w:sz="8" w:space="0" w:color="AF0000" w:themeColor="accent1"/>
        <w:bottom w:val="single" w:sz="8" w:space="0" w:color="AF0000" w:themeColor="accent1"/>
        <w:right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F00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F00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F00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F00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F0000" w:themeColor="accent1"/>
        <w:left w:val="single" w:sz="8" w:space="0" w:color="AF0000" w:themeColor="accent1"/>
        <w:bottom w:val="single" w:sz="8" w:space="0" w:color="AF0000" w:themeColor="accent1"/>
        <w:right w:val="single" w:sz="8" w:space="0" w:color="AF0000" w:themeColor="accent1"/>
        <w:insideH w:val="single" w:sz="8" w:space="0" w:color="AF0000" w:themeColor="accent1"/>
        <w:insideV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F0000" w:themeColor="accent1"/>
          <w:insideV w:val="single" w:sz="6" w:space="0" w:color="AF0000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F00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F00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F00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F00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00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AF0000" w:themeColor="accent1"/>
        <w:bottom w:val="single" w:sz="4" w:space="0" w:color="AF0000" w:themeColor="accent1"/>
        <w:right w:val="single" w:sz="4" w:space="0" w:color="AF0000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AF0000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