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WHAT 100 PEOPLE DO TO A GAME</w:t>
      </w:r>
    </w:p>
    <w:p>
      <w:pPr/>
      <w:r>
        <w:rPr>
          <w:b/>
          <w:color w:val="AF0000"/>
          <w:sz w:val="27"/>
        </w:rPr>
        <w:t>09.03 策划团队会议纪要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26"/>
        <w:gridCol w:w="5026"/>
      </w:tblGrid>
      <w:tr>
        <w:tc>
          <w:tcPr>
            <w:tcW w:type="dxa" w:w="5026"/>
            <w:vAlign w:val="center"/>
          </w:tcPr>
          <w:p>
            <w:pPr>
              <w:spacing w:after="20"/>
            </w:pPr>
            <w:r>
              <w:rPr>
                <w:b/>
                <w:color w:val="AF0000"/>
                <w:sz w:val="17"/>
              </w:rPr>
              <w:t>日期</w:t>
            </w:r>
          </w:p>
        </w:tc>
        <w:tc>
          <w:tcPr>
            <w:tcW w:type="dxa" w:w="5026"/>
            <w:vAlign w:val="center"/>
          </w:tcPr>
          <w:p>
            <w:pPr>
              <w:spacing w:after="20"/>
            </w:pPr>
            <w:r>
              <w:rPr>
                <w:sz w:val="17"/>
              </w:rPr>
              <w:t>2026.09.03</w:t>
            </w:r>
          </w:p>
        </w:tc>
      </w:tr>
      <w:tr>
        <w:tc>
          <w:tcPr>
            <w:tcW w:type="dxa" w:w="5026"/>
            <w:vAlign w:val="center"/>
          </w:tcPr>
          <w:p>
            <w:pPr>
              <w:spacing w:after="20"/>
            </w:pPr>
            <w:r>
              <w:rPr>
                <w:b/>
                <w:color w:val="AF0000"/>
                <w:sz w:val="17"/>
              </w:rPr>
              <w:t>讨论基础</w:t>
            </w:r>
          </w:p>
        </w:tc>
        <w:tc>
          <w:tcPr>
            <w:tcW w:type="dxa" w:w="5026"/>
            <w:vAlign w:val="center"/>
          </w:tcPr>
          <w:p>
            <w:pPr>
              <w:spacing w:after="20"/>
            </w:pPr>
            <w:r>
              <w:rPr>
                <w:sz w:val="17"/>
              </w:rPr>
              <w:t>双女主版 Digital Proposal</w:t>
            </w:r>
          </w:p>
        </w:tc>
      </w:tr>
      <w:tr>
        <w:tc>
          <w:tcPr>
            <w:tcW w:type="dxa" w:w="5026"/>
            <w:vAlign w:val="center"/>
          </w:tcPr>
          <w:p>
            <w:pPr>
              <w:spacing w:after="20"/>
            </w:pPr>
            <w:r>
              <w:rPr>
                <w:b/>
                <w:color w:val="AF0000"/>
                <w:sz w:val="17"/>
              </w:rPr>
              <w:t>当前阶段</w:t>
            </w:r>
          </w:p>
        </w:tc>
        <w:tc>
          <w:tcPr>
            <w:tcW w:type="dxa" w:w="5026"/>
            <w:vAlign w:val="center"/>
          </w:tcPr>
          <w:p>
            <w:pPr>
              <w:spacing w:after="20"/>
            </w:pPr>
            <w:r>
              <w:rPr>
                <w:sz w:val="17"/>
              </w:rPr>
              <w:t>09.03 核心讨论完成；09.04 晚发布初稿、后续安排与第二轮问卷</w:t>
            </w:r>
          </w:p>
        </w:tc>
      </w:tr>
      <w:tr>
        <w:tc>
          <w:tcPr>
            <w:tcW w:type="dxa" w:w="5026"/>
            <w:vAlign w:val="center"/>
          </w:tcPr>
          <w:p>
            <w:pPr>
              <w:spacing w:after="20"/>
            </w:pPr>
            <w:r>
              <w:rPr>
                <w:b/>
                <w:color w:val="AF0000"/>
                <w:sz w:val="17"/>
              </w:rPr>
              <w:t>后续节奏</w:t>
            </w:r>
          </w:p>
        </w:tc>
        <w:tc>
          <w:tcPr>
            <w:tcW w:type="dxa" w:w="5026"/>
            <w:vAlign w:val="center"/>
          </w:tcPr>
          <w:p>
            <w:pPr>
              <w:spacing w:after="20"/>
            </w:pPr>
            <w:r>
              <w:rPr>
                <w:sz w:val="17"/>
              </w:rPr>
              <w:t>3 天自由讨论 → 确定主要方向 → 4 天细修与制作检查</w:t>
            </w:r>
          </w:p>
        </w:tc>
      </w:tr>
    </w:tbl>
    <w:p>
      <w:pPr/>
    </w:p>
    <w:p>
      <w:pPr>
        <w:pStyle w:val="Heading1"/>
      </w:pPr>
      <w:r>
        <w:t>一、这次会议确定了什么</w:t>
      </w:r>
    </w:p>
    <w:p>
      <w:pPr/>
      <w:r>
        <w:t>本轮继续基于双女主版本修改，没有把故事、角色和结局一次性定死。现在先确定游戏的基本体验结构：单人游戏，两个可操作角色；玩家按我们设计好的流程分别经历两个人的段落，角色切换由剧情和关卡决定，不设置自由切换键。</w:t>
      </w:r>
    </w:p>
    <w:p>
      <w:pPr/>
      <w:r>
        <w:t>正常游玩以单屏为主。双屏、四屏或绘本只在需要并置信息、补充叙事或切换角色时出现。接下来 3 天仍然允许保留多个角色关系、场景和主线方案，先把方案推进到具体 Gameplay，再比较哪一个更合适。</w:t>
      </w:r>
    </w:p>
    <w:p>
      <w:pPr>
        <w:pStyle w:val="Heading1"/>
      </w:pPr>
      <w:r>
        <w:t>二、Experience Goal</w:t>
      </w:r>
    </w:p>
    <w:p>
      <w:pPr/>
      <w:r>
        <w:t>玩家前期首先应该觉得轻松、好笑、好玩。进入游戏后能很快做事、认识人、碰到小麻烦和意外，愿意继续探索。主题不需要一开始就压在玩家身上。</w:t>
      </w:r>
    </w:p>
    <w:p>
      <w:pPr/>
      <w:r>
        <w:t>更深一层的体验来自双角色。两个人面对的是同一个世界，但她们认识的人、掌握的信息、熟悉的路线、可调用的资源和判断事情的方式不同。玩家先从一个人的角度理解一件事，再经历另一个人的生活，可能会推翻自己之前的判断。</w:t>
      </w:r>
    </w:p>
    <w:p>
      <w:pPr/>
      <w:r>
        <w:t>前期的幽默可以在后面被重新理解，形成黑色幽默。例如一个 NPC 总在很奇怪的时间出现，前面只是一个好笑的日程，后面才发现和他的工作、家庭安排有关。重点是补全信息后让玩家重新理解前面的笑点，不靠突然加入悲惨事件制造沉重感。</w:t>
      </w:r>
    </w:p>
    <w:p>
      <w:pPr>
        <w:pStyle w:val="Heading1"/>
      </w:pPr>
      <w:r>
        <w:t>三、双角色差异要怎么做进游戏</w:t>
      </w:r>
    </w:p>
    <w:p>
      <w:pPr/>
      <w:r>
        <w:t>“不同的人看到的世界不同”不能只写在对白里。后续每个主要关卡都要检查：换一个角色之后，玩家实际能做的事有没有变化。</w:t>
      </w:r>
    </w:p>
    <w:p>
      <w:pPr/>
      <w:r>
        <w:t>差异可以落在信息、关系、路线和解决办法上。比如乡下长大的女孩在商店遇到老乡，之后可以通过店主的人脉找人或问消息；另一名角色没有这条关系，但可能知道另一条渠道。这样两个角色面对的是同一个任务，却不是同一套解法。</w:t>
      </w:r>
    </w:p>
    <w:p>
      <w:pPr/>
      <w:r>
        <w:t>资源也不能只理解成钱。人脉、地方知识、家庭关系、技能、交通、时间和信息渠道都可以成为资源。人物设计要避免“穷人一定更困难”“城市人一定知道更多”这类直接推导，每个人都要有自己的优势和限制。</w:t>
      </w:r>
    </w:p>
    <w:p>
      <w:pPr>
        <w:pStyle w:val="Heading1"/>
      </w:pPr>
      <w:r>
        <w:t>四、角色和场景暂时保持开放</w:t>
      </w:r>
    </w:p>
    <w:p>
      <w:pPr/>
      <w:r>
        <w:t>双角色结构确定，但角色是谁暂不定。现有双女主版本可以继续改，也可以比较其他方向。目前可保留的例子包括：两个不同的人；同一个人的十年前与十年后；平行世界中的同一个人。</w:t>
      </w:r>
    </w:p>
    <w:p>
      <w:pPr/>
      <w:r>
        <w:t>这些只是后续讨论的起点，不是候选名单。场景、开场、主线和结局同样不需要现在锁死。下一轮更重要的是把每个方案写成具体场景和关卡：玩家控制谁、在做什么、为什么要切到另一个角色、切换后多知道了什么或能做什么。</w:t>
      </w:r>
    </w:p>
    <w:p>
      <w:pPr>
        <w:pStyle w:val="Heading1"/>
        <w:pageBreakBefore/>
      </w:pPr>
      <w:r>
        <w:t>五、不同游戏类型怎么实施</w:t>
      </w:r>
    </w:p>
    <w:p>
      <w:pPr/>
      <w:r>
        <w:t>混合类型继续保留，但不做成十几套系统同时运行。整个游戏共用一套基础操作：移动、观察、互动、和 NPC 建立信息关系、按剧情切换角色。不同类型的玩法以“小关卡”形式插入，每段只突出一套主要机制。</w:t>
      </w:r>
    </w:p>
    <w:p>
      <w:pPr/>
      <w:r>
        <w:t>实施时先写清楚事件，再选玩法。比如“临时帮店主看店”适合做短经营；“根据日程找到一个人”适合做调查和路线规划；“不能被某人发现地拿到东西”才需要潜入；和音乐有关的事件再使用节奏玩法。类型来自事件，不为了展示类型硬塞小游戏。</w:t>
      </w:r>
    </w:p>
    <w:p>
      <w:pPr/>
      <w:r>
        <w:t>每个小关卡最好控制在一个核心目标、一套主要操作和一个清楚的结束条件。完成后回到统一的探索和叙事框架。这样既能保留 100 人项目带来的多种游戏理解，也不会让玩家每几分钟重新学习一套完整规则。</w:t>
      </w:r>
    </w:p>
    <w:p>
      <w:pPr/>
      <w:r>
        <w:t>后续筛机制时直接检查四件事：玩家这一段具体做什么；操作本身有没有反馈和乐趣；为什么这个事件适合这套玩法；它有没有利用角色差异、NPC 日程或已有关系。答不清楚的机制先不进入制作。</w:t>
      </w:r>
    </w:p>
    <w:p>
      <w:pPr>
        <w:pStyle w:val="Heading1"/>
      </w:pPr>
      <w:r>
        <w:t>六、绘本怎么用</w:t>
      </w:r>
    </w:p>
    <w:p>
      <w:pPr/>
      <w:r>
        <w:t>绘本主要放在两个角色段落之间，承担切换和叙事，不单独发展成一套大系统。一个角色完成一段 Gameplay 后进入绘本，玩家完成一次简单交互，再进入另一角色的段落。</w:t>
      </w:r>
    </w:p>
    <w:p>
      <w:pPr/>
      <w:r>
        <w:t>交互可以是移动画面、拼接、排序或连接两个画面，参考《画中世界》《Storyteller》；跨媒介切换参考《勇敢小骑士》。每次使用都要有具体作用，例如补充另一角色掌握的信息、把两个时间或地点连起来，或者让玩家重新理解上一段发生的事。</w:t>
      </w:r>
    </w:p>
    <w:p>
      <w:pPr>
        <w:pStyle w:val="Heading1"/>
      </w:pPr>
      <w:r>
        <w:t>七、100 名居民怎么落地</w:t>
      </w:r>
    </w:p>
    <w:p>
      <w:pPr/>
      <w:r>
        <w:t>现实参与者计划与游戏中的约 100 名居民形成对应。第二轮问卷开始收集居民素材，包括日程、习惯、常去地点、关系和生活细节，再由策划组根据场景和关卡需要统一改编。</w:t>
      </w:r>
    </w:p>
    <w:p>
      <w:pPr/>
      <w:r>
        <w:t>不会制作 100 个完整 NPC。完整形象、动画和较多剧情的核心 NPC 控制在十余名左右，其余大部分通过日程和生活痕迹存在。玩家可能只知道某个人几点经过哪里、在哪上班、认识谁，甚至一直没有见到本人。</w:t>
      </w:r>
    </w:p>
    <w:p>
      <w:pPr/>
      <w:r>
        <w:t>日程只保留会影响任务或理解的信息。例如某人只有下午在店里；某人今天没来，另一个人因此代班；玩家通过两个人的关系找到新的信息。不做复杂的全镇实时模拟，避免程序和测试量失控。</w:t>
      </w:r>
    </w:p>
    <w:p>
      <w:pPr>
        <w:pStyle w:val="Heading1"/>
      </w:pPr>
      <w:r>
        <w:t>八、接下来 3 天具体讨论什么</w:t>
      </w:r>
    </w:p>
    <w:p>
      <w:pPr/>
      <w:r>
        <w:t>自由讨论阶段不要求马上收成一个答案。大家可以同时推进几个版本，但尽量不要只讨论设定，要写到玩家实际会经历的场景。</w:t>
      </w:r>
    </w:p>
    <w:p>
      <w:pPr/>
      <w:r>
        <w:t>下一轮优先解决：两个角色是谁；为什么需要分别操作她们；同一任务在两个人手里具体有什么不同；哪些小关卡真正好玩且能利用人物资源；100 名居民怎样进入任务；绘本在哪些节点出现；前期笑点后面怎样被重新理解。</w:t>
      </w:r>
    </w:p>
    <w:p>
      <w:pPr/>
      <w:r>
        <w:t>比较方案时统一看三个结果：前期是否轻松、好笑、愿意继续玩；机制本身是否成立；玩家是否通过自己的操作感受到“不同的人看到的是不同的世界”，而不是只从台词里听到这句话。</w:t>
      </w:r>
    </w:p>
    <w:p>
      <w:pPr>
        <w:pStyle w:val="Heading1"/>
      </w:pPr>
      <w:r>
        <w:t>九、时间安排</w:t>
      </w:r>
    </w:p>
    <w:p>
      <w:pPr/>
      <w:r>
        <w:rPr>
          <w:b/>
          <w:color w:val="AF0000"/>
        </w:rPr>
        <w:t>09.04 晚｜</w:t>
      </w:r>
      <w:r>
        <w:t>发布后续安排、当前初稿和第二轮问卷。</w:t>
      </w:r>
    </w:p>
    <w:p>
      <w:pPr/>
      <w:r>
        <w:rPr>
          <w:b/>
          <w:color w:val="AF0000"/>
        </w:rPr>
        <w:t>随后 3 天｜</w:t>
      </w:r>
      <w:r>
        <w:t>群内自由讨论和方案发散，可以同时保留多个版本；结束时确定主要方向。</w:t>
      </w:r>
    </w:p>
    <w:p>
      <w:pPr/>
      <w:r>
        <w:rPr>
          <w:b/>
          <w:color w:val="AF0000"/>
        </w:rPr>
        <w:t>之后 4 天｜</w:t>
      </w:r>
      <w:r>
        <w:t>进入细修，不再大范围更换设定，集中处理人物、关卡、NPC 日程、绘本节点、机制原型和实际制作量。</w:t>
      </w:r>
    </w:p>
    <w:p>
      <w:pPr/>
      <w:r>
        <w:rPr>
          <w:b/>
          <w:color w:val="AF0000"/>
        </w:rPr>
        <w:t>细修结束｜</w:t>
      </w:r>
      <w:r>
        <w:t>形成可以继续拆分程序、美术、叙事和音频任务的制作版本。</w:t>
      </w:r>
    </w:p>
    <w:sectPr w:rsidR="00FC693F" w:rsidRPr="0006063C" w:rsidSect="00034616">
      <w:footerReference w:type="default" r:id="rId9"/>
      <w:pgSz w:w="12240" w:h="15840"/>
      <w:pgMar w:top="893" w:right="1094" w:bottom="893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F5F5F"/>
        <w:sz w:val="16"/>
      </w:rPr>
      <w:t>WHAT 100 PEOPLE DO TO A GAME  /  09.03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90"/>
    </w:pPr>
    <w:rPr>
      <w:rFonts w:ascii="Arial" w:hAnsi="Arial" w:eastAsia="Microsoft YaHei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AF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AF0000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AF000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F0000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AF00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AF000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AF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b/>
      <w:color w:val="000000"/>
      <w:spacing w:val="5"/>
      <w:kern w:val="28"/>
      <w:sz w:val="4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AF000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AF000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AF000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AF000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AF0000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AF0000" w:themeColor="accent1"/>
      </w:pBdr>
      <w:spacing w:before="200" w:after="280"/>
      <w:ind w:left="936" w:right="936"/>
    </w:pPr>
    <w:rPr>
      <w:b/>
      <w:bCs/>
      <w:i/>
      <w:iCs/>
      <w:color w:val="AF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AF000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AF000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AF0000" w:themeColor="accent1"/>
        <w:bottom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0000" w:themeColor="accent1"/>
          <w:left w:val="nil"/>
          <w:bottom w:val="single" w:sz="8" w:space="0" w:color="AF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0000" w:themeColor="accent1"/>
          <w:left w:val="nil"/>
          <w:bottom w:val="single" w:sz="8" w:space="0" w:color="AF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band1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  <w:insideH w:val="single" w:sz="8" w:space="0" w:color="AF0000" w:themeColor="accent1"/>
        <w:insideV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18" w:space="0" w:color="AF0000" w:themeColor="accent1"/>
          <w:right w:val="single" w:sz="8" w:space="0" w:color="AF0000" w:themeColor="accent1"/>
          <w:insideH w:val="nil"/>
          <w:insideV w:val="single" w:sz="8" w:space="0" w:color="AF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H w:val="nil"/>
          <w:insideV w:val="single" w:sz="8" w:space="0" w:color="AF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band1Vert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V w:val="single" w:sz="8" w:space="0" w:color="AF0000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V w:val="single" w:sz="8" w:space="0" w:color="AF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F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bottom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F0000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AF0000" w:themeColor="accent1"/>
          <w:bottom w:val="single" w:sz="8" w:space="0" w:color="A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F0000" w:themeColor="accent1"/>
          <w:bottom w:val="single" w:sz="8" w:space="0" w:color="AF0000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F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F00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F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F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  <w:insideH w:val="single" w:sz="8" w:space="0" w:color="AF0000" w:themeColor="accent1"/>
        <w:insideV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F0000" w:themeColor="accent1"/>
          <w:insideV w:val="single" w:sz="6" w:space="0" w:color="AF0000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F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F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AF0000" w:themeColor="accent1"/>
        <w:bottom w:val="single" w:sz="4" w:space="0" w:color="AF0000" w:themeColor="accent1"/>
        <w:right w:val="single" w:sz="4" w:space="0" w:color="AF0000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AF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AF0000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AF000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F0000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AF00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AF000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AF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AF000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AF000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AF000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AF000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AF0000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AF0000" w:themeColor="accent1"/>
      </w:pBdr>
      <w:spacing w:before="200" w:after="280"/>
      <w:ind w:left="936" w:right="936"/>
    </w:pPr>
    <w:rPr>
      <w:b/>
      <w:bCs/>
      <w:i/>
      <w:iCs/>
      <w:color w:val="AF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AF000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AF000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AF0000" w:themeColor="accent1"/>
        <w:bottom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0000" w:themeColor="accent1"/>
          <w:left w:val="nil"/>
          <w:bottom w:val="single" w:sz="8" w:space="0" w:color="AF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0000" w:themeColor="accent1"/>
          <w:left w:val="nil"/>
          <w:bottom w:val="single" w:sz="8" w:space="0" w:color="AF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band1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  <w:insideH w:val="single" w:sz="8" w:space="0" w:color="AF0000" w:themeColor="accent1"/>
        <w:insideV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18" w:space="0" w:color="AF0000" w:themeColor="accent1"/>
          <w:right w:val="single" w:sz="8" w:space="0" w:color="AF0000" w:themeColor="accent1"/>
          <w:insideH w:val="nil"/>
          <w:insideV w:val="single" w:sz="8" w:space="0" w:color="AF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H w:val="nil"/>
          <w:insideV w:val="single" w:sz="8" w:space="0" w:color="AF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</w:tcPr>
    </w:tblStylePr>
    <w:tblStylePr w:type="band1Vert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V w:val="single" w:sz="8" w:space="0" w:color="AF0000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AF0000" w:themeColor="accent1"/>
          <w:left w:val="single" w:sz="8" w:space="0" w:color="AF0000" w:themeColor="accent1"/>
          <w:bottom w:val="single" w:sz="8" w:space="0" w:color="AF0000" w:themeColor="accent1"/>
          <w:right w:val="single" w:sz="8" w:space="0" w:color="AF0000" w:themeColor="accent1"/>
          <w:insideV w:val="single" w:sz="8" w:space="0" w:color="AF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F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bottom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F0000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AF0000" w:themeColor="accent1"/>
          <w:bottom w:val="single" w:sz="8" w:space="0" w:color="A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F0000" w:themeColor="accent1"/>
          <w:bottom w:val="single" w:sz="8" w:space="0" w:color="AF0000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F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F00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F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F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F0000" w:themeColor="accent1"/>
        <w:left w:val="single" w:sz="8" w:space="0" w:color="AF0000" w:themeColor="accent1"/>
        <w:bottom w:val="single" w:sz="8" w:space="0" w:color="AF0000" w:themeColor="accent1"/>
        <w:right w:val="single" w:sz="8" w:space="0" w:color="AF0000" w:themeColor="accent1"/>
        <w:insideH w:val="single" w:sz="8" w:space="0" w:color="AF0000" w:themeColor="accent1"/>
        <w:insideV w:val="single" w:sz="8" w:space="0" w:color="AF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F0000" w:themeColor="accent1"/>
          <w:insideV w:val="single" w:sz="6" w:space="0" w:color="AF0000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F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F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F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AF0000" w:themeColor="accent1"/>
        <w:bottom w:val="single" w:sz="4" w:space="0" w:color="AF0000" w:themeColor="accent1"/>
        <w:right w:val="single" w:sz="4" w:space="0" w:color="AF0000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AF0000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