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SOLMERE Core Mechanics and Systems Design</w:t>
      </w:r>
    </w:p>
    <w:p>
      <w:pPr>
        <w:pStyle w:val="Subtitle"/>
      </w:pPr>
      <w:r>
        <w:t>Professional English Edition</w:t>
      </w:r>
    </w:p>
    <w:p>
      <w:r>
        <w:t>The core game is now defined as schedule management driven by three connected systems: character state, time and money. Each day begins with fixed commitments and known information in the Notebook. The player allocates the remaining time, enters the town and carries out the plan while NPC schedules, opening hours and temporary events continue to move. Every action changes time, money and character state, and its consequences carry into later actions and the following day.</w:t>
      </w:r>
    </w:p>
    <w:p>
      <w:pPr>
        <w:pStyle w:val="Heading1"/>
      </w:pPr>
      <w:r>
        <w:t>Character State</w:t>
      </w:r>
    </w:p>
    <w:p>
      <w:r>
        <w:t>Four dimensions describe the character's physical condition, engagement with the world, cognitive clarity and sense of material security. Each has a stable operating range rather than a simple goal of maximum value. Work, creativity, rest, spending, social activity and fulfilled plans shift the balance. Sustained extremes create Conditions with practical consequences.</w:t>
      </w:r>
    </w:p>
    <w:p>
      <w:r>
        <w:t>State is not displayed as four permanent bars during exploration. The Notebook describes it through readable levels such as energised, steady or tired; engaged, fluctuating or burnt out; clear, scattered or confused; secure, unsettled or anxious. Tiredness slows walking, confusion disrupts the Notebook, burnout changes initial reactions to unfamiliar opportunities, and insecurity makes expensive or risky decisions feel more consequential.</w:t>
      </w:r>
    </w:p>
    <w:p>
      <w:pPr>
        <w:pStyle w:val="Heading1"/>
      </w:pPr>
      <w:r>
        <w:t>Time</w:t>
      </w:r>
    </w:p>
    <w:p>
      <w:r>
        <w:t>Activities specify duration and availability. Continuous activities require an uninterrupted block; short activities fit into fragments; fixed-time events open only within a narrow window; open-time activities are available across broader hours; and sequential activities require an earlier step. Travel also consumes time, while NPCs and shops follow their own schedules.</w:t>
      </w:r>
    </w:p>
    <w:p>
      <w:r>
        <w:t>A has more total flexibility but many small gaps. She can reorganise her day often, although repeated changes reduce clarity. Her strategy is to combine fragments into useful time without letting constant revision create disorder. B has larger uninterrupted blocks but fixed restaurant shifts. She can take leave, finish early or exchange shifts, each with financial, relational or scheduling consequences.</w:t>
      </w:r>
    </w:p>
    <w:p>
      <w:pPr>
        <w:pStyle w:val="Heading1"/>
      </w:pPr>
      <w:r>
        <w:t>Money</w:t>
      </w:r>
    </w:p>
    <w:p>
      <w:r>
        <w:t>Money purchases speed, services, materials and certainty. A can more readily use spending to protect time, but costly shortcuts cannot solve every social or creative problem. B relies more on income, preparation and relationships; a favour or shared journey may replace a direct payment but requires earlier investment in people. Low security makes high-cost purchases and missed work feel increasingly risky.</w:t>
      </w:r>
    </w:p>
    <w:p>
      <w:pPr>
        <w:pStyle w:val="Heading1"/>
      </w:pPr>
      <w:r>
        <w:t>The Closed Loop</w:t>
      </w:r>
    </w:p>
    <w:p>
      <w:r>
        <w:t>Planning changes state and determines which opportunities fit. Executing the plan consumes time and money, changes relationships and reveals information. These results alter the Notebook and the next day's possibilities. The loop keeps minigames, NPC events and exploration connected to the same decision system rather than allowing them to function as separate attractions.</w:t>
      </w:r>
    </w:p>
    <w:p>
      <w:pPr>
        <w:pStyle w:val="Heading1"/>
      </w:pPr>
      <w:r>
        <w:t>Collecting the Character Mosaic</w:t>
      </w:r>
    </w:p>
    <w:p>
      <w:r>
        <w:t>Knowledge about residents is collected through repeated encounters, introductions, letters, objects, observations and the consequences of shared activities. The player does not unlock a complete biography at once. Fragments remain attached to their sources, allowing uncertainty and contradiction to persist until the player has enough context to revise an earlier interpretation.</w:t>
      </w:r>
    </w:p>
    <w:p>
      <w:pPr>
        <w:pStyle w:val="Heading1"/>
      </w:pPr>
      <w:r>
        <w:t>Daily Player Flow</w:t>
      </w:r>
    </w:p>
    <w:p>
      <w:r>
        <w:t>Read the Notebook and fixed commitments; review state, money and known opportunities; arrange activities on the timeline; enter the town and travel; respond to changing availability and temporary events; complete work, creative activities and NPC encounters; record new information and material in the archive; then close the day and carry its effects forward.</w:t>
      </w:r>
    </w:p>
    <w:p>
      <w:pPr>
        <w:pStyle w:val="Heading1"/>
      </w:pPr>
      <w:r>
        <w:t>State System</w:t>
      </w:r>
    </w:p>
    <w:tbl>
      <w:tblPr>
        <w:tblW w:type="auto" w:w="0"/>
        <w:tblLayout w:type="fixed"/>
        <w:tblLook w:firstColumn="1" w:firstRow="1" w:lastColumn="0" w:lastRow="0" w:noHBand="0" w:noVBand="1" w:val="04A0"/>
      </w:tblPr>
      <w:tblGrid>
        <w:gridCol w:w="2412"/>
        <w:gridCol w:w="2412"/>
        <w:gridCol w:w="2412"/>
        <w:gridCol w:w="2412"/>
      </w:tblGrid>
      <w:tr>
        <w:tc>
          <w:tcPr>
            <w:tcW w:type="dxa" w:w="1440"/>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Dimension</w:t>
            </w:r>
          </w:p>
        </w:tc>
        <w:tc>
          <w:tcPr>
            <w:tcW w:type="dxa" w:w="1584"/>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Range</w:t>
            </w:r>
          </w:p>
        </w:tc>
        <w:tc>
          <w:tcPr>
            <w:tcW w:type="dxa" w:w="2880"/>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Primary inputs</w:t>
            </w:r>
          </w:p>
        </w:tc>
        <w:tc>
          <w:tcPr>
            <w:tcW w:type="dxa" w:w="3600"/>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Effect when unbalanced</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Body</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Tired ↔ Energised</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Sleep, walking, work, long activities, meals</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Walking and long activities take more effort; severe fatigue carries into the next day</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Engagement</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Burnt out ↔ Engaged</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Enjoyable activity, creativity, social contact, prolonged work</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More cautious first reactions to unfamiliar exploration and creative opportunities</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Clarity</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Confused ↔ Clear</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Task switching, replanning, information load, rest</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Notebook revisions and repeated reminders; subtle information becomes harder to notice</w:t>
            </w:r>
          </w:p>
        </w:tc>
      </w:tr>
      <w:tr>
        <w:tc>
          <w:tcPr>
            <w:tcW w:type="dxa" w:w="144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Security</w:t>
            </w:r>
          </w:p>
        </w:tc>
        <w:tc>
          <w:tcPr>
            <w:tcW w:type="dxa" w:w="1584"/>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Anxious ↔ Secure</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Disposable money, stable income, commitments, future plans</w:t>
            </w:r>
          </w:p>
        </w:tc>
        <w:tc>
          <w:tcPr>
            <w:tcW w:type="dxa" w:w="360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Stronger internal warnings around spending, leave and further schedule changes</w:t>
            </w:r>
          </w:p>
        </w:tc>
      </w:tr>
    </w:tbl>
    <w:p>
      <w:pPr>
        <w:pStyle w:val="Heading1"/>
      </w:pPr>
      <w:r>
        <w:t>Activity Time Rules</w:t>
      </w:r>
    </w:p>
    <w:tbl>
      <w:tblPr>
        <w:tblW w:type="auto" w:w="0"/>
        <w:tblLayout w:type="fixed"/>
        <w:tblLook w:firstColumn="1" w:firstRow="1" w:lastColumn="0" w:lastRow="0" w:noHBand="0" w:noVBand="1" w:val="04A0"/>
      </w:tblPr>
      <w:tblGrid>
        <w:gridCol w:w="3216"/>
        <w:gridCol w:w="3216"/>
        <w:gridCol w:w="3216"/>
      </w:tblGrid>
      <w:tr>
        <w:tc>
          <w:tcPr>
            <w:tcW w:type="dxa" w:w="1728"/>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Type</w:t>
            </w:r>
          </w:p>
        </w:tc>
        <w:tc>
          <w:tcPr>
            <w:tcW w:type="dxa" w:w="3312"/>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Rule</w:t>
            </w:r>
          </w:p>
        </w:tc>
        <w:tc>
          <w:tcPr>
            <w:tcW w:type="dxa" w:w="4464"/>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Examples</w:t>
            </w:r>
          </w:p>
        </w:tc>
      </w:tr>
      <w:t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Continuous</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Requires one uninterrupted block</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Music creation, longer minigames, deep NPC events</w:t>
            </w:r>
          </w:p>
        </w:tc>
      </w:tr>
      <w:t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Short</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Fits into small gaps</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Collecting mail, brief dialogue, observation, side tasks</w:t>
            </w:r>
          </w:p>
        </w:tc>
      </w:tr>
      <w:t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Fixed time</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Available only within a defined window</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Chess appointments, work, selected NPC events</w:t>
            </w:r>
          </w:p>
        </w:tc>
      </w:tr>
      <w:t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Open time</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Available across broader opening hours</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Tarot, shops, free exploration</w:t>
            </w:r>
          </w:p>
        </w:tc>
      </w:tr>
      <w:tr>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Sequential</w:t>
            </w:r>
          </w:p>
        </w:tc>
        <w:tc>
          <w:tcPr>
            <w:tcW w:type="dxa" w:w="331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Unlocks after a prior step</w:t>
            </w:r>
          </w:p>
        </w:tc>
        <w:tc>
          <w:tcPr>
            <w:tcW w:type="dxa" w:w="4464"/>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Writing then posting a letter, multi-stage character events</w:t>
            </w:r>
          </w:p>
        </w:tc>
      </w:tr>
    </w:tbl>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8" w:lineRule="auto"/>
    </w:pPr>
    <w:rPr>
      <w:rFonts w:ascii="Aptos" w:hAnsi="Aptos"/>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line="278" w:lineRule="auto"/>
      <w:outlineLvl w:val="0"/>
    </w:pPr>
    <w:rPr>
      <w:rFonts w:asciiTheme="majorHAnsi" w:eastAsiaTheme="majorEastAsia" w:hAnsiTheme="majorHAnsi" w:cstheme="majorBidi" w:ascii="Aptos" w:hAnsi="Apto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00" w:line="278" w:lineRule="auto"/>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78" w:lineRule="auto" w:before="0"/>
      <w:contextualSpacing/>
    </w:pPr>
    <w:rPr>
      <w:rFonts w:asciiTheme="majorHAnsi" w:eastAsiaTheme="majorEastAsia" w:hAnsiTheme="majorHAnsi" w:cstheme="majorBidi" w:ascii="Aptos" w:hAnsi="Apto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440" w:line="278" w:lineRule="auto"/>
    </w:pPr>
    <w:rPr>
      <w:rFonts w:asciiTheme="majorHAnsi" w:eastAsiaTheme="majorEastAsia" w:hAnsiTheme="majorHAnsi" w:cstheme="majorBidi" w:ascii="Aptos" w:hAnsi="Apto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SOLMERE Core Mechanics and Systems Design</dc:title>
  <dc:subject>Professional English Edition</dc:subject>
  <dc:creator>HuieChen 陈慧娥</dc:creator>
  <cp:keywords/>
  <dc:description>generated by python-docx</dc:description>
  <cp:lastModifiedBy/>
  <cp:revision>1</cp:revision>
  <dcterms:created xsi:type="dcterms:W3CDTF">2013-12-23T23:15:00Z</dcterms:created>
  <dcterms:modified xsi:type="dcterms:W3CDTF">2013-12-23T23:15:00Z</dcterms:modified>
  <cp:category/>
</cp:coreProperties>
</file>